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CB" w:rsidRPr="00E57E42" w:rsidRDefault="003C10C8" w:rsidP="00DB69CB">
      <w:pPr>
        <w:jc w:val="center"/>
        <w:rPr>
          <w:rFonts w:ascii="Stone Sans ITC TT-Semi" w:hAnsi="Stone Sans ITC TT-Semi"/>
          <w:b/>
          <w:sz w:val="22"/>
        </w:rPr>
      </w:pPr>
      <w:bookmarkStart w:id="0" w:name="_GoBack"/>
      <w:bookmarkEnd w:id="0"/>
      <w:r w:rsidRPr="00E57E42">
        <w:rPr>
          <w:rFonts w:ascii="Stone Sans ITC TT-Semi" w:hAnsi="Stone Sans ITC TT-Semi"/>
          <w:b/>
          <w:sz w:val="22"/>
          <w:lang w:val="ru-RU"/>
        </w:rPr>
        <w:t>Call for Papers</w:t>
      </w:r>
    </w:p>
    <w:p w:rsidR="00E1788B" w:rsidRDefault="00E1788B" w:rsidP="00DB69CB">
      <w:pPr>
        <w:jc w:val="center"/>
        <w:rPr>
          <w:rFonts w:ascii="Stone Sans ITC TT-Semi" w:hAnsi="Stone Sans ITC TT-Semi"/>
          <w:sz w:val="22"/>
        </w:rPr>
      </w:pPr>
    </w:p>
    <w:p w:rsidR="00E57E42" w:rsidRPr="00E57E42" w:rsidRDefault="00E1788B" w:rsidP="00E57E42">
      <w:pPr>
        <w:rPr>
          <w:rFonts w:ascii="SimSun" w:eastAsia="SimSun" w:hAnsi="SimSun" w:cs="Tahoma"/>
          <w:color w:val="000000"/>
          <w:sz w:val="20"/>
          <w:szCs w:val="20"/>
        </w:rPr>
      </w:pPr>
      <w:r>
        <w:rPr>
          <w:rFonts w:ascii="SimSun" w:eastAsia="SimSun" w:hAnsi="SimSun"/>
          <w:b/>
          <w:iCs/>
        </w:rPr>
        <w:t xml:space="preserve">Please note: </w:t>
      </w:r>
      <w:r w:rsidRPr="00E1788B">
        <w:rPr>
          <w:rFonts w:ascii="SimSun" w:eastAsia="SimSun" w:hAnsi="SimSun"/>
          <w:b/>
          <w:iCs/>
        </w:rPr>
        <w:t>CFP Deadline extended to April 8th. If possible, we would appreciate it if you would notify us by April 1 if you are intending to submit an abstract.</w:t>
      </w:r>
      <w:r w:rsidR="00E57E42" w:rsidRPr="00E57E42">
        <w:rPr>
          <w:color w:val="000000"/>
        </w:rPr>
        <w:t xml:space="preserve"> </w:t>
      </w:r>
      <w:r w:rsidR="00E57E42" w:rsidRPr="00E57E42">
        <w:rPr>
          <w:rFonts w:ascii="SimSun" w:eastAsia="SimSun" w:hAnsi="SimSun"/>
          <w:b/>
          <w:color w:val="000000"/>
        </w:rPr>
        <w:t xml:space="preserve">Please note that papers need not discuss </w:t>
      </w:r>
      <w:r w:rsidR="00E57E42" w:rsidRPr="00E57E42">
        <w:rPr>
          <w:rFonts w:ascii="SimSun" w:eastAsia="SimSun" w:hAnsi="SimSun"/>
          <w:b/>
          <w:color w:val="000000"/>
          <w:u w:val="single"/>
        </w:rPr>
        <w:t>both</w:t>
      </w:r>
      <w:r w:rsidR="00E57E42" w:rsidRPr="00E57E42">
        <w:rPr>
          <w:rFonts w:ascii="SimSun" w:eastAsia="SimSun" w:hAnsi="SimSun"/>
          <w:b/>
          <w:color w:val="000000"/>
        </w:rPr>
        <w:t xml:space="preserve"> Europe and Latin America! We hope to bring together scholars working on different regions and in various disciplines.</w:t>
      </w:r>
      <w:r w:rsidR="00E57E42" w:rsidRPr="00E57E42">
        <w:rPr>
          <w:rFonts w:ascii="SimSun" w:eastAsia="SimSun" w:hAnsi="SimSun"/>
          <w:color w:val="000000"/>
        </w:rPr>
        <w:t xml:space="preserve"> </w:t>
      </w:r>
    </w:p>
    <w:p w:rsidR="00E1788B" w:rsidRPr="00E1788B" w:rsidRDefault="00E1788B" w:rsidP="00E1788B">
      <w:pPr>
        <w:rPr>
          <w:rFonts w:ascii="SimSun" w:eastAsia="SimSun" w:hAnsi="SimSun"/>
          <w:b/>
          <w:iCs/>
        </w:rPr>
      </w:pPr>
    </w:p>
    <w:p w:rsidR="00E1788B" w:rsidRPr="00E1788B" w:rsidRDefault="00E1788B" w:rsidP="00DB69CB">
      <w:pPr>
        <w:jc w:val="center"/>
        <w:rPr>
          <w:rFonts w:ascii="Stone Sans ITC TT-Semi" w:hAnsi="Stone Sans ITC TT-Semi"/>
          <w:sz w:val="22"/>
        </w:rPr>
      </w:pPr>
    </w:p>
    <w:p w:rsidR="00DB69CB" w:rsidRPr="00DB69CB" w:rsidRDefault="00E60EF7" w:rsidP="00DB69CB">
      <w:pPr>
        <w:jc w:val="center"/>
        <w:rPr>
          <w:rFonts w:ascii="Stone Sans ITC TT-Semi" w:hAnsi="Stone Sans ITC TT-Semi"/>
          <w:sz w:val="22"/>
          <w:lang w:val="ru-RU"/>
        </w:rPr>
      </w:pPr>
    </w:p>
    <w:p w:rsidR="00DB69CB" w:rsidRPr="00DB69CB" w:rsidRDefault="003C10C8" w:rsidP="00DB69CB">
      <w:pPr>
        <w:jc w:val="center"/>
        <w:rPr>
          <w:rFonts w:ascii="Stone Sans ITC TT-Semi" w:eastAsia="ヒラギノ角ゴ Pro W3" w:hAnsi="Stone Sans ITC TT-Semi"/>
          <w:b/>
          <w:color w:val="000000"/>
          <w:sz w:val="22"/>
          <w:lang w:val="ru-RU"/>
        </w:rPr>
      </w:pPr>
      <w:r w:rsidRPr="00DB69CB">
        <w:rPr>
          <w:rFonts w:ascii="Stone Sans ITC TT-Semi" w:eastAsia="ヒラギノ角ゴ Pro W3" w:hAnsi="Stone Sans ITC TT-Semi"/>
          <w:b/>
          <w:color w:val="000000"/>
          <w:sz w:val="22"/>
          <w:lang w:val="ru-RU"/>
        </w:rPr>
        <w:t>The Baroque Legacy:</w:t>
      </w:r>
    </w:p>
    <w:p w:rsidR="00DB69CB" w:rsidRPr="00DB69CB" w:rsidRDefault="003C10C8" w:rsidP="00DB69CB">
      <w:pPr>
        <w:jc w:val="center"/>
        <w:rPr>
          <w:rFonts w:ascii="Stone Sans ITC TT-Semi" w:eastAsia="ヒラギノ角ゴ Pro W3" w:hAnsi="Stone Sans ITC TT-Semi"/>
          <w:b/>
          <w:color w:val="000000"/>
          <w:sz w:val="22"/>
          <w:lang w:val="ru-RU"/>
        </w:rPr>
      </w:pPr>
      <w:r w:rsidRPr="00DB69CB">
        <w:rPr>
          <w:rFonts w:ascii="Stone Sans ITC TT-Semi" w:eastAsia="ヒラギノ角ゴ Pro W3" w:hAnsi="Stone Sans ITC TT-Semi"/>
          <w:b/>
          <w:color w:val="000000"/>
          <w:sz w:val="22"/>
          <w:lang w:val="ru-RU"/>
        </w:rPr>
        <w:t xml:space="preserve">Past and Present in Hispanic America </w:t>
      </w:r>
    </w:p>
    <w:p w:rsidR="00DB69CB" w:rsidRPr="00DB69CB" w:rsidRDefault="003C10C8" w:rsidP="00DB69CB">
      <w:pPr>
        <w:jc w:val="center"/>
        <w:rPr>
          <w:rFonts w:ascii="Stone Sans ITC TT-Semi" w:eastAsia="ヒラギノ角ゴ Pro W3" w:hAnsi="Stone Sans ITC TT-Semi"/>
          <w:b/>
          <w:color w:val="000000"/>
          <w:sz w:val="22"/>
          <w:lang w:val="ru-RU"/>
        </w:rPr>
      </w:pPr>
      <w:r w:rsidRPr="00DB69CB">
        <w:rPr>
          <w:rFonts w:ascii="Stone Sans ITC TT-Semi" w:eastAsia="ヒラギノ角ゴ Pro W3" w:hAnsi="Stone Sans ITC TT-Semi"/>
          <w:b/>
          <w:color w:val="000000"/>
          <w:sz w:val="22"/>
          <w:lang w:val="ru-RU"/>
        </w:rPr>
        <w:t>and Central and Eastern Europe</w:t>
      </w:r>
    </w:p>
    <w:p w:rsidR="00DB69CB" w:rsidRPr="00DB69CB" w:rsidRDefault="00E60EF7" w:rsidP="00DB69CB">
      <w:pPr>
        <w:jc w:val="center"/>
        <w:rPr>
          <w:rFonts w:ascii="Stone Sans ITC TT-Semi" w:eastAsia="ヒラギノ角ゴ Pro W3" w:hAnsi="Stone Sans ITC TT-Semi"/>
          <w:b/>
          <w:color w:val="000000"/>
          <w:sz w:val="22"/>
          <w:lang w:val="ru-RU"/>
        </w:rPr>
      </w:pPr>
    </w:p>
    <w:p w:rsidR="00DB69CB" w:rsidRPr="00DB69CB" w:rsidRDefault="003C10C8" w:rsidP="00DB69CB">
      <w:pPr>
        <w:jc w:val="center"/>
        <w:rPr>
          <w:rFonts w:ascii="Stone Sans ITC TT-Semi" w:hAnsi="Stone Sans ITC TT-Semi"/>
          <w:sz w:val="22"/>
          <w:lang w:val="ru-RU"/>
        </w:rPr>
      </w:pPr>
      <w:r w:rsidRPr="00DB69CB">
        <w:rPr>
          <w:rFonts w:ascii="Stone Sans ITC TT-Semi" w:hAnsi="Stone Sans ITC TT-Semi"/>
          <w:sz w:val="22"/>
          <w:lang w:val="ru-RU"/>
        </w:rPr>
        <w:t>October 23-26, 2013</w:t>
      </w:r>
    </w:p>
    <w:p w:rsidR="00DB69CB" w:rsidRPr="00DB69CB" w:rsidRDefault="003C10C8" w:rsidP="00DB69CB">
      <w:pPr>
        <w:jc w:val="center"/>
        <w:rPr>
          <w:rFonts w:ascii="Stone Sans ITC TT-Semi" w:hAnsi="Stone Sans ITC TT-Semi"/>
          <w:sz w:val="22"/>
          <w:lang w:val="ru-RU"/>
        </w:rPr>
      </w:pPr>
      <w:r w:rsidRPr="00DB69CB">
        <w:rPr>
          <w:rFonts w:ascii="Stone Sans ITC TT-Semi" w:hAnsi="Stone Sans ITC TT-Semi"/>
          <w:sz w:val="22"/>
          <w:lang w:val="ru-RU"/>
        </w:rPr>
        <w:t>Grand Valley State University</w:t>
      </w:r>
    </w:p>
    <w:p w:rsidR="00DB69CB" w:rsidRPr="00DB69CB" w:rsidRDefault="003C10C8" w:rsidP="00DB69CB">
      <w:pPr>
        <w:jc w:val="center"/>
        <w:rPr>
          <w:rFonts w:ascii="Stone Sans ITC TT-Semi" w:hAnsi="Stone Sans ITC TT-Semi"/>
          <w:sz w:val="22"/>
          <w:lang w:val="ru-RU"/>
        </w:rPr>
      </w:pPr>
      <w:r w:rsidRPr="00DB69CB">
        <w:rPr>
          <w:rFonts w:ascii="Stone Sans ITC TT-Semi" w:hAnsi="Stone Sans ITC TT-Semi"/>
          <w:sz w:val="22"/>
          <w:lang w:val="ru-RU"/>
        </w:rPr>
        <w:t>Allendale, Michigan, USA</w:t>
      </w:r>
    </w:p>
    <w:p w:rsidR="00DB69CB" w:rsidRDefault="003C10C8" w:rsidP="00DB69CB">
      <w:pPr>
        <w:jc w:val="center"/>
        <w:rPr>
          <w:rFonts w:ascii="Stone Sans ITC TT-Semi" w:hAnsi="Stone Sans ITC TT-Semi"/>
          <w:sz w:val="22"/>
        </w:rPr>
      </w:pPr>
      <w:r w:rsidRPr="00DB69CB">
        <w:rPr>
          <w:rFonts w:ascii="Stone Sans ITC TT-Semi" w:hAnsi="Stone Sans ITC TT-Semi"/>
          <w:sz w:val="22"/>
          <w:lang w:val="ru-RU"/>
        </w:rPr>
        <w:t>(outside Grand Rapids)</w:t>
      </w:r>
    </w:p>
    <w:p w:rsidR="00E1788B" w:rsidRDefault="00E1788B" w:rsidP="00DB69CB">
      <w:pPr>
        <w:jc w:val="center"/>
        <w:rPr>
          <w:rFonts w:ascii="Stone Sans ITC TT-Semi" w:hAnsi="Stone Sans ITC TT-Semi"/>
          <w:sz w:val="22"/>
        </w:rPr>
      </w:pPr>
    </w:p>
    <w:p w:rsidR="00E1788B" w:rsidRPr="00E1788B" w:rsidRDefault="00E1788B" w:rsidP="00DB69CB">
      <w:pPr>
        <w:jc w:val="center"/>
        <w:rPr>
          <w:rFonts w:ascii="SimSun" w:eastAsia="SimSun" w:hAnsi="SimSun"/>
          <w:sz w:val="22"/>
        </w:rPr>
      </w:pPr>
    </w:p>
    <w:p w:rsidR="00DB69CB" w:rsidRPr="00DB69CB" w:rsidRDefault="00E60EF7" w:rsidP="00DB69CB">
      <w:pPr>
        <w:rPr>
          <w:rFonts w:ascii="Stone Sans ITC TT-Semi" w:eastAsia="ヒラギノ角ゴ Pro W3" w:hAnsi="Stone Sans ITC TT-Semi"/>
          <w:b/>
          <w:color w:val="000000"/>
          <w:sz w:val="22"/>
          <w:lang w:val="ru-RU"/>
        </w:rPr>
      </w:pPr>
    </w:p>
    <w:p w:rsidR="00DB69CB" w:rsidRPr="00DB69CB" w:rsidRDefault="00E60EF7">
      <w:pPr>
        <w:rPr>
          <w:rFonts w:ascii="Stone Sans ITC TT-Semi" w:eastAsia="ヒラギノ角ゴ Pro W3" w:hAnsi="Stone Sans ITC TT-Semi"/>
          <w:b/>
          <w:color w:val="000000"/>
          <w:sz w:val="22"/>
          <w:lang w:val="ru-RU"/>
        </w:rPr>
      </w:pPr>
    </w:p>
    <w:p w:rsidR="00DB69CB" w:rsidRPr="00DB69CB" w:rsidRDefault="003C10C8">
      <w:pPr>
        <w:pStyle w:val="FreeForm"/>
        <w:tabs>
          <w:tab w:val="left" w:pos="360"/>
        </w:tabs>
        <w:spacing w:after="240" w:line="216" w:lineRule="auto"/>
        <w:jc w:val="both"/>
        <w:rPr>
          <w:rFonts w:ascii="Stone Sans ITC TT-Semi" w:hAnsi="Stone Sans ITC TT-Semi"/>
          <w:sz w:val="22"/>
          <w:lang w:val="ru-RU"/>
        </w:rPr>
      </w:pPr>
      <w:r w:rsidRPr="00DB69CB">
        <w:rPr>
          <w:rFonts w:ascii="Stone Sans ITC TT-Semi" w:hAnsi="Stone Sans ITC TT-Semi"/>
          <w:sz w:val="22"/>
          <w:lang w:val="ru-RU"/>
        </w:rPr>
        <w:t>The theme of this conference is inspired by an idea expressed by Czech novelist Milan Kundera:</w:t>
      </w:r>
    </w:p>
    <w:p w:rsidR="00DB69CB" w:rsidRPr="00DB69CB" w:rsidRDefault="003C10C8" w:rsidP="00DB69CB">
      <w:pPr>
        <w:pStyle w:val="FreeForm"/>
        <w:spacing w:after="240" w:line="216" w:lineRule="auto"/>
        <w:ind w:left="360" w:right="288"/>
        <w:jc w:val="both"/>
        <w:rPr>
          <w:rFonts w:ascii="Stone Sans ITC TT-Semi" w:hAnsi="Stone Sans ITC TT-Semi"/>
          <w:sz w:val="22"/>
          <w:lang w:val="ru-RU"/>
        </w:rPr>
      </w:pPr>
      <w:r w:rsidRPr="00DB69CB">
        <w:rPr>
          <w:rFonts w:ascii="Stone Sans ITC TT-Semi" w:hAnsi="Stone Sans ITC TT-Semi"/>
          <w:sz w:val="22"/>
          <w:lang w:val="ru-RU"/>
        </w:rPr>
        <w:t>We talked about the astonishing kinship between your vast Latin America and my little Central Europe, the two parts of the world similarly marked by the historical memory of the Baroque, which makes a writer hypersensitive to the seductions of the fantastical, magical, oneiric imagination.</w:t>
      </w:r>
    </w:p>
    <w:p w:rsidR="00DB69CB" w:rsidRPr="00DB69CB" w:rsidRDefault="003C10C8" w:rsidP="00DB69CB">
      <w:pPr>
        <w:pStyle w:val="FreeForm"/>
        <w:tabs>
          <w:tab w:val="left" w:pos="360"/>
        </w:tabs>
        <w:spacing w:after="240" w:line="216" w:lineRule="auto"/>
        <w:ind w:left="360" w:right="288"/>
        <w:jc w:val="center"/>
        <w:rPr>
          <w:rFonts w:ascii="Stone Sans ITC TT-Semi" w:hAnsi="Stone Sans ITC TT-Semi"/>
          <w:sz w:val="22"/>
          <w:lang w:val="ru-RU"/>
        </w:rPr>
      </w:pPr>
      <w:r w:rsidRPr="00DB69CB">
        <w:rPr>
          <w:rFonts w:ascii="Stone Sans ITC TT-Semi" w:hAnsi="Stone Sans ITC TT-Semi"/>
          <w:sz w:val="22"/>
          <w:lang w:val="ru-RU"/>
        </w:rPr>
        <w:t>"An Open Letter to Carlos Fuentes"</w:t>
      </w:r>
    </w:p>
    <w:p w:rsidR="00DB69CB" w:rsidRPr="00DB69CB" w:rsidRDefault="003C10C8" w:rsidP="00DB69CB">
      <w:pPr>
        <w:pStyle w:val="FreeForm"/>
        <w:tabs>
          <w:tab w:val="left" w:pos="360"/>
        </w:tabs>
        <w:spacing w:after="240" w:line="216" w:lineRule="auto"/>
        <w:jc w:val="both"/>
        <w:rPr>
          <w:rFonts w:ascii="Stone Sans ITC TT-Semi" w:hAnsi="Stone Sans ITC TT-Semi"/>
          <w:position w:val="-2"/>
          <w:sz w:val="22"/>
          <w:lang w:val="ru-RU"/>
        </w:rPr>
      </w:pPr>
      <w:r w:rsidRPr="00DB69CB">
        <w:rPr>
          <w:rFonts w:ascii="Stone Sans ITC TT-Semi" w:hAnsi="Stone Sans ITC TT-Semi"/>
          <w:sz w:val="22"/>
          <w:lang w:val="ru-RU"/>
        </w:rPr>
        <w:t>While focusing on music, we hope to create a wide-ranging inter-disciplinary dialogue. We invite paper or performance proposals that shed light on relationships between present and past in the cultural products of Hispanic America or Central/Eastern Europe, or on the shared ancestry of these two traditions.</w:t>
      </w:r>
    </w:p>
    <w:p w:rsidR="00DB69CB" w:rsidRPr="00DB69CB" w:rsidRDefault="003C10C8" w:rsidP="00DB69CB">
      <w:pPr>
        <w:jc w:val="both"/>
        <w:rPr>
          <w:rFonts w:ascii="Stone Sans ITC TT-Semi" w:eastAsia="ヒラギノ角ゴ Pro W3" w:hAnsi="Stone Sans ITC TT-Semi"/>
          <w:color w:val="000000"/>
          <w:sz w:val="22"/>
          <w:lang w:val="ru-RU"/>
        </w:rPr>
      </w:pPr>
      <w:r w:rsidRPr="00DB69CB">
        <w:rPr>
          <w:rFonts w:ascii="Stone Sans ITC TT-Semi" w:eastAsia="ヒラギノ角ゴ Pro W3" w:hAnsi="Stone Sans ITC TT-Semi"/>
          <w:color w:val="000000"/>
          <w:sz w:val="22"/>
          <w:lang w:val="ru-RU"/>
        </w:rPr>
        <w:t>Keynote speakers are Roberto González Echevarría, scholar of Hispanic literature (and Cuban baseball and fiestas), and John Rice, scholar of 18</w:t>
      </w:r>
      <w:r w:rsidRPr="00DB69CB">
        <w:rPr>
          <w:rFonts w:ascii="Stone Sans ITC TT-Semi" w:eastAsia="ヒラギノ角ゴ Pro W3" w:hAnsi="Stone Sans ITC TT-Semi"/>
          <w:color w:val="000000"/>
          <w:sz w:val="22"/>
          <w:vertAlign w:val="superscript"/>
          <w:lang w:val="ru-RU"/>
        </w:rPr>
        <w:t>th</w:t>
      </w:r>
      <w:r w:rsidRPr="00DB69CB">
        <w:rPr>
          <w:rFonts w:ascii="Stone Sans ITC TT-Semi" w:eastAsia="ヒラギノ角ゴ Pro W3" w:hAnsi="Stone Sans ITC TT-Semi"/>
          <w:color w:val="000000"/>
          <w:sz w:val="22"/>
          <w:lang w:val="ru-RU"/>
        </w:rPr>
        <w:t xml:space="preserve"> century music.  Musical advisors include Bernardo Illari and Elisabeth Le Guin.</w:t>
      </w:r>
    </w:p>
    <w:p w:rsidR="00DB69CB" w:rsidRPr="00DB69CB" w:rsidRDefault="00E60EF7" w:rsidP="00DB69CB">
      <w:pPr>
        <w:jc w:val="both"/>
        <w:rPr>
          <w:rFonts w:ascii="Stone Sans ITC TT-Semi" w:eastAsia="ヒラギノ角ゴ Pro W3" w:hAnsi="Stone Sans ITC TT-Semi"/>
          <w:color w:val="000000"/>
          <w:sz w:val="22"/>
          <w:lang w:val="ru-RU"/>
        </w:rPr>
      </w:pPr>
    </w:p>
    <w:p w:rsidR="00DB69CB" w:rsidRPr="00DB69CB" w:rsidRDefault="003C10C8" w:rsidP="00DB69CB">
      <w:pPr>
        <w:jc w:val="both"/>
        <w:rPr>
          <w:rFonts w:ascii="Stone Sans ITC TT-Semi" w:eastAsia="ヒラギノ角ゴ Pro W3" w:hAnsi="Stone Sans ITC TT-Semi"/>
          <w:color w:val="000000"/>
          <w:sz w:val="22"/>
          <w:lang w:val="ru-RU"/>
        </w:rPr>
      </w:pPr>
      <w:r w:rsidRPr="00DB69CB">
        <w:rPr>
          <w:rFonts w:ascii="Stone Sans ITC TT-Semi" w:eastAsia="ヒラギノ角ゴ Pro W3" w:hAnsi="Stone Sans ITC TT-Semi"/>
          <w:color w:val="000000"/>
          <w:sz w:val="22"/>
          <w:lang w:val="ru-RU"/>
        </w:rPr>
        <w:t>The grand finale, a (very late) Baroque spectacle of 18</w:t>
      </w:r>
      <w:r w:rsidRPr="00DB69CB">
        <w:rPr>
          <w:rFonts w:ascii="Stone Sans ITC TT-Semi" w:eastAsia="ヒラギノ角ゴ Pro W3" w:hAnsi="Stone Sans ITC TT-Semi"/>
          <w:color w:val="000000"/>
          <w:sz w:val="22"/>
          <w:vertAlign w:val="superscript"/>
          <w:lang w:val="ru-RU"/>
        </w:rPr>
        <w:t>th</w:t>
      </w:r>
      <w:r w:rsidRPr="00DB69CB">
        <w:rPr>
          <w:rFonts w:ascii="Stone Sans ITC TT-Semi" w:eastAsia="ヒラギノ角ゴ Pro W3" w:hAnsi="Stone Sans ITC TT-Semi"/>
          <w:color w:val="000000"/>
          <w:sz w:val="22"/>
          <w:lang w:val="ru-RU"/>
        </w:rPr>
        <w:t xml:space="preserve"> century music, drama, and dance, features:</w:t>
      </w:r>
    </w:p>
    <w:p w:rsidR="00DB69CB" w:rsidRPr="00DB69CB" w:rsidRDefault="00E60EF7" w:rsidP="00DB69CB">
      <w:pPr>
        <w:jc w:val="both"/>
        <w:rPr>
          <w:rFonts w:ascii="Stone Sans ITC TT-Semi" w:eastAsia="ヒラギノ角ゴ Pro W3" w:hAnsi="Stone Sans ITC TT-Semi"/>
          <w:color w:val="000000"/>
          <w:sz w:val="22"/>
          <w:lang w:val="ru-RU"/>
        </w:rPr>
      </w:pPr>
    </w:p>
    <w:p w:rsidR="00DB69CB" w:rsidRPr="00DB69CB" w:rsidRDefault="003C10C8" w:rsidP="00DB69CB">
      <w:pPr>
        <w:ind w:left="360"/>
        <w:jc w:val="both"/>
        <w:rPr>
          <w:rFonts w:ascii="Stone Sans ITC TT-Semi" w:hAnsi="Stone Sans ITC TT-Semi" w:cs="Garamond"/>
          <w:sz w:val="22"/>
          <w:szCs w:val="18"/>
          <w:lang w:val="ru-RU" w:bidi="en-US"/>
        </w:rPr>
      </w:pPr>
      <w:r w:rsidRPr="00DB69CB">
        <w:rPr>
          <w:rFonts w:ascii="Stone Sans ITC TT-Semi" w:hAnsi="Stone Sans ITC TT-Semi" w:cs="Garamond"/>
          <w:sz w:val="22"/>
          <w:szCs w:val="18"/>
          <w:lang w:val="ru-RU" w:bidi="en-US"/>
        </w:rPr>
        <w:t>Miserere, Estanislao Miguel Leyseca (Bolivia)</w:t>
      </w:r>
    </w:p>
    <w:p w:rsidR="00DB69CB" w:rsidRPr="00DB69CB" w:rsidRDefault="003C10C8" w:rsidP="00DB69CB">
      <w:pPr>
        <w:ind w:left="360"/>
        <w:jc w:val="both"/>
        <w:rPr>
          <w:rFonts w:ascii="Stone Sans ITC TT-Semi" w:hAnsi="Stone Sans ITC TT-Semi" w:cs="Garamond"/>
          <w:sz w:val="22"/>
          <w:szCs w:val="18"/>
          <w:lang w:val="ru-RU" w:bidi="en-US"/>
        </w:rPr>
      </w:pPr>
      <w:r w:rsidRPr="00DB69CB">
        <w:rPr>
          <w:rFonts w:ascii="Stone Sans ITC TT-Semi" w:hAnsi="Stone Sans ITC TT-Semi" w:cs="Garamond"/>
          <w:sz w:val="22"/>
          <w:szCs w:val="18"/>
          <w:lang w:val="ru-RU" w:bidi="en-US"/>
        </w:rPr>
        <w:t>Tonadillas, Pablo Esteve and Blas de Laserna (Spain)</w:t>
      </w:r>
    </w:p>
    <w:p w:rsidR="00DB69CB" w:rsidRPr="00DB69CB" w:rsidRDefault="003C10C8" w:rsidP="00DB69CB">
      <w:pPr>
        <w:ind w:left="360"/>
        <w:jc w:val="both"/>
        <w:rPr>
          <w:rFonts w:ascii="Stone Sans ITC TT-Semi" w:eastAsia="ヒラギノ角ゴ Pro W3" w:hAnsi="Stone Sans ITC TT-Semi"/>
          <w:color w:val="000000"/>
          <w:sz w:val="22"/>
          <w:lang w:val="ru-RU"/>
        </w:rPr>
      </w:pPr>
      <w:r w:rsidRPr="00DB69CB">
        <w:rPr>
          <w:rFonts w:ascii="Stone Sans ITC TT-Semi" w:hAnsi="Stone Sans ITC TT-Semi" w:cs="Garamond"/>
          <w:i/>
          <w:iCs/>
          <w:sz w:val="22"/>
          <w:szCs w:val="18"/>
          <w:lang w:val="ru-RU" w:bidi="en-US"/>
        </w:rPr>
        <w:t>Evakathel and Schnudi</w:t>
      </w:r>
      <w:r w:rsidRPr="00DB69CB">
        <w:rPr>
          <w:rFonts w:ascii="Stone Sans ITC TT-Semi" w:hAnsi="Stone Sans ITC TT-Semi" w:cs="Garamond"/>
          <w:iCs/>
          <w:sz w:val="22"/>
          <w:szCs w:val="18"/>
          <w:lang w:val="ru-RU" w:bidi="en-US"/>
        </w:rPr>
        <w:t>, comic tragedy, Philipp Hafner (Austria)</w:t>
      </w:r>
    </w:p>
    <w:p w:rsidR="00DB69CB" w:rsidRPr="00DB69CB" w:rsidRDefault="00E60EF7" w:rsidP="00DB69CB">
      <w:pPr>
        <w:ind w:left="360"/>
        <w:jc w:val="both"/>
        <w:rPr>
          <w:rFonts w:ascii="Stone Sans ITC TT-Semi" w:eastAsia="ヒラギノ角ゴ Pro W3" w:hAnsi="Stone Sans ITC TT-Semi"/>
          <w:color w:val="000000"/>
          <w:sz w:val="22"/>
          <w:lang w:val="ru-RU"/>
        </w:rPr>
      </w:pPr>
    </w:p>
    <w:p w:rsidR="00DB69CB" w:rsidRPr="00DB69CB" w:rsidRDefault="003C10C8" w:rsidP="00DB69CB">
      <w:pPr>
        <w:jc w:val="both"/>
        <w:rPr>
          <w:rFonts w:ascii="Stone Sans ITC TT-Semi" w:eastAsia="ヒラギノ角ゴ Pro W3" w:hAnsi="Stone Sans ITC TT-Semi"/>
          <w:sz w:val="22"/>
          <w:lang w:val="ru-RU"/>
        </w:rPr>
      </w:pPr>
      <w:r w:rsidRPr="00DB69CB">
        <w:rPr>
          <w:rFonts w:ascii="Stone Sans ITC TT-Semi" w:eastAsia="ヒラギノ角ゴ Pro W3" w:hAnsi="Stone Sans ITC TT-Semi"/>
          <w:sz w:val="22"/>
          <w:lang w:val="ru-RU"/>
        </w:rPr>
        <w:t xml:space="preserve">The full conference brochure can be downloaded at </w:t>
      </w:r>
      <w:hyperlink r:id="rId6" w:history="1">
        <w:r w:rsidRPr="00DB69CB">
          <w:rPr>
            <w:rStyle w:val="Hyperlink"/>
            <w:rFonts w:ascii="Stone Sans ITC TT-Semi" w:eastAsia="ヒラギノ角ゴ Pro W3" w:hAnsi="Stone Sans ITC TT-Semi"/>
            <w:sz w:val="22"/>
            <w:lang w:val="ru-RU"/>
          </w:rPr>
          <w:t>www.gvsu.edu/music</w:t>
        </w:r>
      </w:hyperlink>
      <w:r w:rsidRPr="00DB69CB">
        <w:rPr>
          <w:rFonts w:ascii="Stone Sans ITC TT-Semi" w:eastAsia="ヒラギノ角ゴ Pro W3" w:hAnsi="Stone Sans ITC TT-Semi"/>
          <w:sz w:val="22"/>
          <w:lang w:val="ru-RU"/>
        </w:rPr>
        <w:t>.</w:t>
      </w:r>
    </w:p>
    <w:p w:rsidR="00DB69CB" w:rsidRPr="00DB69CB" w:rsidRDefault="00E60EF7" w:rsidP="00DB69CB">
      <w:pPr>
        <w:jc w:val="both"/>
        <w:rPr>
          <w:rFonts w:ascii="Stone Sans ITC TT-Semi" w:eastAsia="ヒラギノ角ゴ Pro W3" w:hAnsi="Stone Sans ITC TT-Semi"/>
          <w:sz w:val="22"/>
          <w:lang w:val="ru-RU"/>
        </w:rPr>
      </w:pPr>
    </w:p>
    <w:p w:rsidR="00DB69CB" w:rsidRPr="00DB69CB" w:rsidRDefault="003C10C8" w:rsidP="00DB69CB">
      <w:pPr>
        <w:jc w:val="both"/>
        <w:rPr>
          <w:rFonts w:ascii="Stone Sans ITC TT-Semi" w:hAnsi="Stone Sans ITC TT-Semi"/>
          <w:sz w:val="22"/>
          <w:lang w:val="ru-RU"/>
        </w:rPr>
      </w:pPr>
      <w:r w:rsidRPr="00DB69CB">
        <w:rPr>
          <w:rFonts w:ascii="Stone Sans ITC TT-Semi" w:hAnsi="Stone Sans ITC TT-Semi"/>
          <w:sz w:val="22"/>
          <w:lang w:val="ru-RU"/>
        </w:rPr>
        <w:t>The deadline for proposals is Monday, March 25, 2013.  Each presenter will be allowed 20 minutes, with an additional 10 minutes for questions. The primary language will be English, but we will consider exceptions. To submit, send an abstract of not more than 300 words to</w:t>
      </w:r>
    </w:p>
    <w:p w:rsidR="00DB69CB" w:rsidRPr="00DB69CB" w:rsidRDefault="003C10C8" w:rsidP="00DB69CB">
      <w:pPr>
        <w:jc w:val="center"/>
        <w:rPr>
          <w:rFonts w:ascii="Stone Sans ITC TT-Semi" w:eastAsia="ヒラギノ角ゴ Pro W3" w:hAnsi="Stone Sans ITC TT-Semi"/>
          <w:color w:val="000000"/>
          <w:sz w:val="22"/>
          <w:lang w:val="ru-RU"/>
        </w:rPr>
      </w:pPr>
      <w:r w:rsidRPr="00DB69CB">
        <w:rPr>
          <w:rFonts w:ascii="Stone Sans ITC TT-Semi" w:eastAsia="ヒラギノ角ゴ Pro W3" w:hAnsi="Stone Sans ITC TT-Semi"/>
          <w:color w:val="000000"/>
          <w:sz w:val="22"/>
          <w:lang w:val="ru-RU"/>
        </w:rPr>
        <w:lastRenderedPageBreak/>
        <w:t>Professor Lisa Feurzeig</w:t>
      </w:r>
      <w:r w:rsidRPr="00DB69CB">
        <w:rPr>
          <w:rFonts w:ascii="Stone Sans ITC TT-Semi" w:eastAsia="ヒラギノ角ゴ Pro W3" w:hAnsi="Stone Sans ITC TT-Semi"/>
          <w:color w:val="000000"/>
          <w:sz w:val="22"/>
          <w:lang w:val="ru-RU"/>
        </w:rPr>
        <w:br/>
      </w:r>
      <w:hyperlink r:id="rId7" w:history="1">
        <w:r w:rsidRPr="00DB69CB">
          <w:rPr>
            <w:rFonts w:ascii="Stone Sans ITC TT-Semi" w:eastAsia="ヒラギノ角ゴ Pro W3" w:hAnsi="Stone Sans ITC TT-Semi"/>
            <w:color w:val="000099"/>
            <w:sz w:val="22"/>
            <w:u w:val="single"/>
            <w:lang w:val="ru-RU"/>
          </w:rPr>
          <w:t>feurzeil@gvsu.edu</w:t>
        </w:r>
      </w:hyperlink>
    </w:p>
    <w:p w:rsidR="00DB69CB" w:rsidRPr="00DB69CB" w:rsidRDefault="00E60EF7" w:rsidP="00DB69CB">
      <w:pPr>
        <w:jc w:val="center"/>
        <w:rPr>
          <w:rFonts w:ascii="Stone Sans ITC TT-Semi" w:eastAsia="ヒラギノ角ゴ Pro W3" w:hAnsi="Stone Sans ITC TT-Semi"/>
          <w:color w:val="000000"/>
          <w:sz w:val="22"/>
          <w:lang w:val="ru-RU"/>
        </w:rPr>
      </w:pPr>
    </w:p>
    <w:p w:rsidR="00DB69CB" w:rsidRPr="00DB69CB" w:rsidRDefault="003C10C8" w:rsidP="00DB69CB">
      <w:pPr>
        <w:jc w:val="center"/>
        <w:rPr>
          <w:rFonts w:ascii="Stone Sans ITC TT-Semi" w:eastAsia="ヒラギノ角ゴ Pro W3" w:hAnsi="Stone Sans ITC TT-Semi"/>
          <w:color w:val="000000"/>
          <w:sz w:val="22"/>
          <w:lang w:val="ru-RU"/>
        </w:rPr>
      </w:pPr>
      <w:r w:rsidRPr="00DB69CB">
        <w:rPr>
          <w:rFonts w:ascii="Stone Sans ITC TT-Semi" w:eastAsia="ヒラギノ角ゴ Pro W3" w:hAnsi="Stone Sans ITC TT-Semi"/>
          <w:color w:val="000000"/>
          <w:sz w:val="22"/>
          <w:lang w:val="ru-RU"/>
        </w:rPr>
        <w:t>Department of Music and Dance</w:t>
      </w:r>
    </w:p>
    <w:p w:rsidR="00DB69CB" w:rsidRPr="00DB69CB" w:rsidRDefault="003C10C8" w:rsidP="00DB69CB">
      <w:pPr>
        <w:jc w:val="center"/>
        <w:rPr>
          <w:rFonts w:ascii="Stone Sans ITC TT-Semi" w:eastAsia="ヒラギノ角ゴ Pro W3" w:hAnsi="Stone Sans ITC TT-Semi"/>
          <w:color w:val="000000"/>
          <w:sz w:val="22"/>
          <w:lang w:val="ru-RU"/>
        </w:rPr>
      </w:pPr>
      <w:r w:rsidRPr="00DB69CB">
        <w:rPr>
          <w:rFonts w:ascii="Stone Sans ITC TT-Semi" w:eastAsia="ヒラギノ角ゴ Pro W3" w:hAnsi="Stone Sans ITC TT-Semi"/>
          <w:color w:val="000000"/>
          <w:sz w:val="22"/>
          <w:lang w:val="ru-RU"/>
        </w:rPr>
        <w:t>Grand Valley State University</w:t>
      </w:r>
      <w:r w:rsidRPr="00DB69CB">
        <w:rPr>
          <w:rFonts w:ascii="Stone Sans ITC TT-Semi" w:eastAsia="ヒラギノ角ゴ Pro W3" w:hAnsi="Stone Sans ITC TT-Semi"/>
          <w:color w:val="000000"/>
          <w:sz w:val="22"/>
          <w:lang w:val="ru-RU"/>
        </w:rPr>
        <w:cr/>
        <w:t>1 Campus Drive</w:t>
      </w:r>
      <w:r w:rsidRPr="00DB69CB">
        <w:rPr>
          <w:rFonts w:ascii="Stone Sans ITC TT-Semi" w:eastAsia="ヒラギノ角ゴ Pro W3" w:hAnsi="Stone Sans ITC TT-Semi"/>
          <w:color w:val="000000"/>
          <w:sz w:val="22"/>
          <w:lang w:val="ru-RU"/>
        </w:rPr>
        <w:cr/>
        <w:t>Allendale, MI  49401</w:t>
      </w:r>
    </w:p>
    <w:p w:rsidR="00DB69CB" w:rsidRPr="00DB69CB" w:rsidRDefault="00E60EF7" w:rsidP="00DB69CB">
      <w:pPr>
        <w:jc w:val="center"/>
        <w:rPr>
          <w:rFonts w:ascii="Stone Sans ITC TT-Semi" w:eastAsia="ヒラギノ角ゴ Pro W3" w:hAnsi="Stone Sans ITC TT-Semi"/>
          <w:color w:val="000000"/>
          <w:sz w:val="22"/>
          <w:lang w:val="ru-RU"/>
        </w:rPr>
      </w:pPr>
    </w:p>
    <w:p w:rsidR="00DB69CB" w:rsidRPr="00DB69CB" w:rsidRDefault="003C10C8" w:rsidP="00DB69CB">
      <w:pPr>
        <w:jc w:val="both"/>
        <w:rPr>
          <w:rFonts w:ascii="Stone Sans ITC TT-Semi" w:hAnsi="Stone Sans ITC TT-Semi"/>
          <w:sz w:val="22"/>
          <w:lang w:val="ru-RU"/>
        </w:rPr>
      </w:pPr>
      <w:r w:rsidRPr="00DB69CB">
        <w:rPr>
          <w:rFonts w:ascii="Stone Sans ITC TT-Semi" w:hAnsi="Stone Sans ITC TT-Semi" w:cs="Garamond"/>
          <w:sz w:val="22"/>
          <w:szCs w:val="18"/>
          <w:lang w:val="ru-RU" w:bidi="en-US"/>
        </w:rPr>
        <w:t>The program committee will notify applicants of its decisions before the end of April</w:t>
      </w:r>
      <w:r w:rsidRPr="00DB69CB">
        <w:rPr>
          <w:rFonts w:ascii="Stone Sans ITC TT-Semi" w:eastAsia="ヒラギノ角ゴ Pro W3" w:hAnsi="Stone Sans ITC TT-Semi"/>
          <w:color w:val="000000"/>
          <w:sz w:val="22"/>
          <w:lang w:val="ru-RU"/>
        </w:rPr>
        <w:t>.</w:t>
      </w:r>
    </w:p>
    <w:sectPr w:rsidR="00DB69CB" w:rsidRPr="00DB69CB" w:rsidSect="00DB69CB">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1000000" w:usb1="00000000" w:usb2="07040001" w:usb3="00000000" w:csb0="00020000" w:csb1="00000000"/>
  </w:font>
  <w:font w:name="Calibri">
    <w:panose1 w:val="020F0502020204030204"/>
    <w:charset w:val="00"/>
    <w:family w:val="swiss"/>
    <w:pitch w:val="variable"/>
    <w:sig w:usb0="E10002FF" w:usb1="4000ACFF" w:usb2="00000009" w:usb3="00000000" w:csb0="0000019F" w:csb1="00000000"/>
  </w:font>
  <w:font w:name="Stone Sans ITC TT-Semi">
    <w:altName w:val="Courier New"/>
    <w:charset w:val="00"/>
    <w:family w:val="auto"/>
    <w:pitch w:val="variable"/>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348"/>
    <w:rsid w:val="003C10C8"/>
    <w:rsid w:val="00666348"/>
    <w:rsid w:val="00E1788B"/>
    <w:rsid w:val="00E57E42"/>
    <w:rsid w:val="00E6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D6B52"/>
    <w:rPr>
      <w:rFonts w:ascii="Helvetica" w:eastAsia="ヒラギノ角ゴ Pro W3" w:hAnsi="Helvetica"/>
      <w:color w:val="000000"/>
      <w:sz w:val="24"/>
    </w:rPr>
  </w:style>
  <w:style w:type="numbering" w:customStyle="1" w:styleId="Bullet">
    <w:name w:val="Bullet"/>
    <w:rsid w:val="00FD6B52"/>
  </w:style>
  <w:style w:type="character" w:styleId="Hyperlink">
    <w:name w:val="Hyperlink"/>
    <w:rsid w:val="006500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eurzeil@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vsu.edu/mus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Call for Papers</vt:lpstr>
    </vt:vector>
  </TitlesOfParts>
  <Company>Grand Valley State University</Company>
  <LinksUpToDate>false</LinksUpToDate>
  <CharactersWithSpaces>2411</CharactersWithSpaces>
  <SharedDoc>false</SharedDoc>
  <HLinks>
    <vt:vector size="12" baseType="variant">
      <vt:variant>
        <vt:i4>655409</vt:i4>
      </vt:variant>
      <vt:variant>
        <vt:i4>3</vt:i4>
      </vt:variant>
      <vt:variant>
        <vt:i4>0</vt:i4>
      </vt:variant>
      <vt:variant>
        <vt:i4>5</vt:i4>
      </vt:variant>
      <vt:variant>
        <vt:lpwstr>mailto:feurzeil@gvsu.edu</vt:lpwstr>
      </vt:variant>
      <vt:variant>
        <vt:lpwstr/>
      </vt:variant>
      <vt:variant>
        <vt:i4>4063302</vt:i4>
      </vt:variant>
      <vt:variant>
        <vt:i4>0</vt:i4>
      </vt:variant>
      <vt:variant>
        <vt:i4>0</vt:i4>
      </vt:variant>
      <vt:variant>
        <vt:i4>5</vt:i4>
      </vt:variant>
      <vt:variant>
        <vt:lpwstr>http://www.gvsu.edu/music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Lisa Feurzeig</dc:creator>
  <cp:lastModifiedBy>wrightd</cp:lastModifiedBy>
  <cp:revision>2</cp:revision>
  <dcterms:created xsi:type="dcterms:W3CDTF">2013-04-01T17:03:00Z</dcterms:created>
  <dcterms:modified xsi:type="dcterms:W3CDTF">2013-04-01T17:03:00Z</dcterms:modified>
</cp:coreProperties>
</file>