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74" w:rsidRDefault="00457C74" w:rsidP="00C574F6">
      <w:pPr>
        <w:jc w:val="center"/>
        <w:rPr>
          <w:b/>
          <w:bCs/>
          <w:lang w:val="en-GB"/>
        </w:rPr>
      </w:pPr>
      <w:r w:rsidRPr="00B259FD">
        <w:rPr>
          <w:b/>
          <w:bCs/>
          <w:lang w:val="en-GB"/>
        </w:rPr>
        <w:t>Conference Announcement</w:t>
      </w:r>
    </w:p>
    <w:p w:rsidR="00C574F6" w:rsidRDefault="00C574F6" w:rsidP="00C574F6">
      <w:pPr>
        <w:jc w:val="center"/>
        <w:rPr>
          <w:b/>
          <w:bCs/>
          <w:lang w:val="en-GB"/>
        </w:rPr>
      </w:pPr>
      <w:r>
        <w:rPr>
          <w:b/>
          <w:bCs/>
          <w:lang w:val="en-GB"/>
        </w:rPr>
        <w:t xml:space="preserve">Out of the Wings and </w:t>
      </w:r>
    </w:p>
    <w:p w:rsidR="00454306" w:rsidRDefault="00454306" w:rsidP="00C574F6">
      <w:pPr>
        <w:jc w:val="center"/>
        <w:rPr>
          <w:lang w:val="en-GB"/>
        </w:rPr>
      </w:pPr>
      <w:r>
        <w:rPr>
          <w:b/>
          <w:bCs/>
          <w:lang w:val="en-GB"/>
        </w:rPr>
        <w:t>The Association for Hispanic Classical Theater</w:t>
      </w:r>
    </w:p>
    <w:p w:rsidR="00C574F6" w:rsidRDefault="00C574F6" w:rsidP="00C574F6">
      <w:pPr>
        <w:jc w:val="center"/>
        <w:rPr>
          <w:lang w:val="en-GB"/>
        </w:rPr>
      </w:pPr>
      <w:r>
        <w:rPr>
          <w:lang w:val="en-GB"/>
        </w:rPr>
        <w:t>First Call for Papers</w:t>
      </w:r>
    </w:p>
    <w:p w:rsidR="00C574F6" w:rsidRDefault="00C574F6" w:rsidP="00C574F6">
      <w:pPr>
        <w:jc w:val="center"/>
        <w:rPr>
          <w:b/>
          <w:lang w:val="en-GB"/>
        </w:rPr>
      </w:pPr>
      <w:r w:rsidRPr="00CE06FA">
        <w:rPr>
          <w:b/>
          <w:lang w:val="en-GB"/>
        </w:rPr>
        <w:t xml:space="preserve">The </w:t>
      </w:r>
      <w:r w:rsidRPr="00CE06FA">
        <w:rPr>
          <w:b/>
          <w:i/>
          <w:lang w:val="en-GB"/>
        </w:rPr>
        <w:t>comedia</w:t>
      </w:r>
      <w:r w:rsidRPr="00CE06FA">
        <w:rPr>
          <w:b/>
          <w:lang w:val="en-GB"/>
        </w:rPr>
        <w:t>: translation and performance</w:t>
      </w:r>
    </w:p>
    <w:p w:rsidR="00C574F6" w:rsidRDefault="00C574F6" w:rsidP="00C574F6">
      <w:pPr>
        <w:jc w:val="center"/>
        <w:rPr>
          <w:b/>
          <w:lang w:val="en-GB"/>
        </w:rPr>
      </w:pPr>
      <w:r>
        <w:rPr>
          <w:b/>
          <w:lang w:val="en-GB"/>
        </w:rPr>
        <w:t>25-28 November 2013</w:t>
      </w:r>
    </w:p>
    <w:p w:rsidR="00C574F6" w:rsidRDefault="00C574F6">
      <w:pPr>
        <w:rPr>
          <w:lang w:val="en-GB"/>
        </w:rPr>
      </w:pPr>
      <w:r>
        <w:rPr>
          <w:lang w:val="en-GB"/>
        </w:rPr>
        <w:t>This conference will be held in the Theatre Royal, Bath, England, timed to coincide with Laurence Boswell’s season of three Spanish Golden Age plays that will be running in repertory in the Ustinov Studio.</w:t>
      </w:r>
    </w:p>
    <w:p w:rsidR="00C574F6" w:rsidRDefault="00C574F6">
      <w:pPr>
        <w:rPr>
          <w:lang w:val="en-GB"/>
        </w:rPr>
      </w:pPr>
      <w:r>
        <w:rPr>
          <w:lang w:val="en-GB"/>
        </w:rPr>
        <w:t>The plays are:</w:t>
      </w:r>
    </w:p>
    <w:p w:rsidR="00C574F6" w:rsidRPr="00B95E5C" w:rsidRDefault="00C574F6" w:rsidP="00C574F6">
      <w:pPr>
        <w:spacing w:after="0"/>
        <w:rPr>
          <w:rFonts w:cs="Tahoma"/>
          <w:i/>
          <w:szCs w:val="22"/>
        </w:rPr>
      </w:pPr>
      <w:r w:rsidRPr="00B95E5C">
        <w:rPr>
          <w:rFonts w:cs="Tahoma"/>
          <w:i/>
          <w:szCs w:val="22"/>
        </w:rPr>
        <w:t>La dama boba</w:t>
      </w:r>
    </w:p>
    <w:p w:rsidR="00C574F6" w:rsidRPr="00CF16A4" w:rsidRDefault="00C574F6" w:rsidP="00C574F6">
      <w:pPr>
        <w:spacing w:after="0"/>
        <w:rPr>
          <w:rFonts w:cs="Tahoma"/>
          <w:i/>
          <w:szCs w:val="22"/>
          <w:lang w:val="es-ES"/>
        </w:rPr>
      </w:pPr>
      <w:r w:rsidRPr="00CF16A4">
        <w:rPr>
          <w:rFonts w:cs="Tahoma"/>
          <w:i/>
          <w:szCs w:val="22"/>
          <w:lang w:val="es-ES"/>
        </w:rPr>
        <w:t xml:space="preserve">El castigo sin venganza </w:t>
      </w:r>
    </w:p>
    <w:p w:rsidR="00C574F6" w:rsidRPr="00CF16A4" w:rsidRDefault="00C574F6">
      <w:pPr>
        <w:rPr>
          <w:rFonts w:cs="Tahoma"/>
          <w:i/>
          <w:szCs w:val="22"/>
          <w:lang w:val="es-ES"/>
        </w:rPr>
      </w:pPr>
      <w:r w:rsidRPr="00CF16A4">
        <w:rPr>
          <w:rFonts w:cs="Tahoma"/>
          <w:i/>
          <w:szCs w:val="22"/>
          <w:lang w:val="es-ES"/>
        </w:rPr>
        <w:t>Don Gil de las calzas verdes</w:t>
      </w:r>
    </w:p>
    <w:p w:rsidR="00C574F6" w:rsidRDefault="00C574F6">
      <w:pPr>
        <w:rPr>
          <w:rFonts w:cs="Tahoma"/>
          <w:szCs w:val="22"/>
        </w:rPr>
      </w:pPr>
      <w:r>
        <w:rPr>
          <w:rFonts w:cs="Tahoma"/>
          <w:szCs w:val="22"/>
        </w:rPr>
        <w:t>All three plays will be performed during the conference. Each production will be the subject of a roundtable discussion between theatre practitioners and academics.</w:t>
      </w:r>
    </w:p>
    <w:p w:rsidR="00C574F6" w:rsidRDefault="00C574F6">
      <w:pPr>
        <w:rPr>
          <w:rFonts w:cs="Tahoma"/>
          <w:szCs w:val="22"/>
        </w:rPr>
      </w:pPr>
      <w:r>
        <w:rPr>
          <w:rFonts w:cs="Tahoma"/>
          <w:szCs w:val="22"/>
        </w:rPr>
        <w:t>The conference is designed to sustain and develop the ongoing conversation between academics, translators and theatre practitioners. Twenty-minute papers in English are invited on any of the following areas:</w:t>
      </w:r>
    </w:p>
    <w:p w:rsidR="00C574F6" w:rsidRDefault="00C574F6" w:rsidP="00C574F6">
      <w:pPr>
        <w:numPr>
          <w:ilvl w:val="0"/>
          <w:numId w:val="1"/>
        </w:numPr>
        <w:spacing w:after="120"/>
        <w:rPr>
          <w:rFonts w:cs="Tahoma"/>
          <w:i/>
          <w:szCs w:val="22"/>
        </w:rPr>
      </w:pPr>
      <w:r w:rsidRPr="00B95E5C">
        <w:rPr>
          <w:rFonts w:cs="Tahoma"/>
          <w:i/>
          <w:szCs w:val="22"/>
        </w:rPr>
        <w:t>La dama boba</w:t>
      </w:r>
    </w:p>
    <w:p w:rsidR="00C574F6" w:rsidRDefault="00C574F6" w:rsidP="00C574F6">
      <w:pPr>
        <w:numPr>
          <w:ilvl w:val="0"/>
          <w:numId w:val="1"/>
        </w:numPr>
        <w:spacing w:after="120"/>
        <w:rPr>
          <w:rFonts w:cs="Tahoma"/>
          <w:i/>
          <w:szCs w:val="22"/>
        </w:rPr>
      </w:pPr>
      <w:r w:rsidRPr="00B95E5C">
        <w:rPr>
          <w:rFonts w:cs="Tahoma"/>
          <w:i/>
          <w:szCs w:val="22"/>
        </w:rPr>
        <w:t xml:space="preserve">El castigo sin venganza </w:t>
      </w:r>
    </w:p>
    <w:p w:rsidR="00C574F6" w:rsidRPr="00CF16A4" w:rsidRDefault="00C574F6" w:rsidP="00C574F6">
      <w:pPr>
        <w:numPr>
          <w:ilvl w:val="0"/>
          <w:numId w:val="1"/>
        </w:numPr>
        <w:spacing w:after="120"/>
        <w:rPr>
          <w:rFonts w:cs="Tahoma"/>
          <w:i/>
          <w:szCs w:val="22"/>
          <w:lang w:val="es-ES"/>
        </w:rPr>
      </w:pPr>
      <w:r w:rsidRPr="00CF16A4">
        <w:rPr>
          <w:rFonts w:cs="Tahoma"/>
          <w:i/>
          <w:szCs w:val="22"/>
          <w:lang w:val="es-ES"/>
        </w:rPr>
        <w:t>Don Gil de las calzas verdes</w:t>
      </w:r>
    </w:p>
    <w:p w:rsidR="00C574F6" w:rsidRDefault="00C574F6" w:rsidP="00C574F6">
      <w:pPr>
        <w:numPr>
          <w:ilvl w:val="0"/>
          <w:numId w:val="1"/>
        </w:numPr>
        <w:spacing w:after="120"/>
        <w:rPr>
          <w:rFonts w:cs="Tahoma"/>
          <w:i/>
          <w:szCs w:val="22"/>
        </w:rPr>
      </w:pPr>
      <w:r>
        <w:rPr>
          <w:rFonts w:cs="Tahoma"/>
          <w:i/>
          <w:szCs w:val="22"/>
        </w:rPr>
        <w:t>The performance contexts / reception of Spanish Golden Age Theatre</w:t>
      </w:r>
    </w:p>
    <w:p w:rsidR="00C574F6" w:rsidRDefault="00C574F6" w:rsidP="00C574F6">
      <w:pPr>
        <w:numPr>
          <w:ilvl w:val="0"/>
          <w:numId w:val="1"/>
        </w:numPr>
        <w:spacing w:after="120"/>
        <w:rPr>
          <w:rFonts w:cs="Tahoma"/>
          <w:i/>
          <w:szCs w:val="22"/>
        </w:rPr>
      </w:pPr>
      <w:r>
        <w:rPr>
          <w:rFonts w:cs="Tahoma"/>
          <w:i/>
          <w:szCs w:val="22"/>
        </w:rPr>
        <w:t>Translation / adaptation and performance</w:t>
      </w:r>
    </w:p>
    <w:p w:rsidR="00C574F6" w:rsidRDefault="00C574F6" w:rsidP="00C574F6">
      <w:pPr>
        <w:numPr>
          <w:ilvl w:val="0"/>
          <w:numId w:val="1"/>
        </w:numPr>
        <w:spacing w:after="120"/>
        <w:rPr>
          <w:rFonts w:cs="Tahoma"/>
          <w:i/>
          <w:szCs w:val="22"/>
        </w:rPr>
      </w:pPr>
      <w:r>
        <w:rPr>
          <w:rFonts w:cs="Tahoma"/>
          <w:i/>
          <w:szCs w:val="22"/>
        </w:rPr>
        <w:t>Comedia translation / performance historiography</w:t>
      </w:r>
    </w:p>
    <w:p w:rsidR="00C574F6" w:rsidRDefault="00C574F6" w:rsidP="00C574F6">
      <w:pPr>
        <w:numPr>
          <w:ilvl w:val="0"/>
          <w:numId w:val="1"/>
        </w:numPr>
        <w:spacing w:after="120"/>
        <w:rPr>
          <w:rFonts w:cs="Tahoma"/>
          <w:i/>
          <w:szCs w:val="22"/>
        </w:rPr>
      </w:pPr>
      <w:r>
        <w:rPr>
          <w:rFonts w:cs="Tahoma"/>
          <w:i/>
          <w:szCs w:val="22"/>
        </w:rPr>
        <w:t>The comedia and the trials of the foreign</w:t>
      </w:r>
    </w:p>
    <w:p w:rsidR="00C574F6" w:rsidRDefault="00C574F6" w:rsidP="00C574F6">
      <w:pPr>
        <w:numPr>
          <w:ilvl w:val="0"/>
          <w:numId w:val="1"/>
        </w:numPr>
        <w:spacing w:after="120"/>
        <w:rPr>
          <w:rFonts w:cs="Tahoma"/>
          <w:i/>
          <w:szCs w:val="22"/>
        </w:rPr>
      </w:pPr>
      <w:r>
        <w:rPr>
          <w:rFonts w:cs="Tahoma"/>
          <w:i/>
          <w:szCs w:val="22"/>
        </w:rPr>
        <w:t>Comedia Studies: where now?</w:t>
      </w:r>
    </w:p>
    <w:p w:rsidR="00C574F6" w:rsidRDefault="00C574F6" w:rsidP="00C574F6">
      <w:pPr>
        <w:spacing w:after="120"/>
        <w:rPr>
          <w:rFonts w:cs="Tahoma"/>
          <w:szCs w:val="22"/>
        </w:rPr>
      </w:pPr>
      <w:r>
        <w:rPr>
          <w:rFonts w:cs="Tahoma"/>
          <w:szCs w:val="22"/>
        </w:rPr>
        <w:t>This list is, of course, not exhaustive or exclusive. But it is anticipated that the conference will focus on the specific plays as well as on more general questions of translation, performance and cultural transmission.</w:t>
      </w:r>
    </w:p>
    <w:p w:rsidR="00C574F6" w:rsidRDefault="00C574F6" w:rsidP="00C574F6">
      <w:pPr>
        <w:spacing w:after="120"/>
        <w:rPr>
          <w:rFonts w:cs="Tahoma"/>
          <w:szCs w:val="22"/>
        </w:rPr>
      </w:pPr>
      <w:r>
        <w:rPr>
          <w:rFonts w:cs="Tahoma"/>
          <w:szCs w:val="22"/>
        </w:rPr>
        <w:t>A volume of selected essays will be published.</w:t>
      </w:r>
    </w:p>
    <w:p w:rsidR="00C574F6" w:rsidRDefault="00C574F6" w:rsidP="00C574F6">
      <w:pPr>
        <w:spacing w:after="120"/>
        <w:rPr>
          <w:rFonts w:cs="Tahoma"/>
          <w:szCs w:val="22"/>
        </w:rPr>
      </w:pPr>
      <w:r>
        <w:rPr>
          <w:rFonts w:cs="Tahoma"/>
          <w:szCs w:val="22"/>
        </w:rPr>
        <w:t xml:space="preserve">If you wish to present a paper, please send a brief proposal (maximum 250 words) to the conference organisers Susan Paun de García </w:t>
      </w:r>
      <w:r w:rsidRPr="00723161">
        <w:rPr>
          <w:rFonts w:ascii="Calibri" w:hAnsi="Calibri" w:cs="Tahoma"/>
          <w:szCs w:val="22"/>
        </w:rPr>
        <w:t>(</w:t>
      </w:r>
      <w:hyperlink r:id="rId7" w:history="1">
        <w:r w:rsidRPr="00723161">
          <w:rPr>
            <w:rStyle w:val="Hyperlink"/>
            <w:rFonts w:ascii="Calibri" w:hAnsi="Calibri" w:cs="Tahoma"/>
            <w:szCs w:val="32"/>
          </w:rPr>
          <w:t>garcia@denison.edu</w:t>
        </w:r>
      </w:hyperlink>
      <w:r w:rsidRPr="00723161">
        <w:rPr>
          <w:rFonts w:ascii="Calibri" w:hAnsi="Calibri" w:cs="Tahoma"/>
          <w:szCs w:val="32"/>
        </w:rPr>
        <w:t>)</w:t>
      </w:r>
      <w:r>
        <w:rPr>
          <w:rFonts w:ascii="Tahoma" w:hAnsi="Tahoma" w:cs="Tahoma"/>
          <w:sz w:val="32"/>
          <w:szCs w:val="32"/>
        </w:rPr>
        <w:t xml:space="preserve"> </w:t>
      </w:r>
      <w:r>
        <w:rPr>
          <w:rFonts w:cs="Tahoma"/>
          <w:szCs w:val="22"/>
        </w:rPr>
        <w:t>or David Johnston (</w:t>
      </w:r>
      <w:hyperlink r:id="rId8" w:history="1">
        <w:r w:rsidRPr="003043B1">
          <w:rPr>
            <w:rStyle w:val="Hyperlink"/>
            <w:rFonts w:cs="Tahoma"/>
            <w:szCs w:val="22"/>
          </w:rPr>
          <w:t>d.johnston@qub.ac.uk</w:t>
        </w:r>
      </w:hyperlink>
      <w:r>
        <w:rPr>
          <w:rFonts w:cs="Tahoma"/>
          <w:szCs w:val="22"/>
        </w:rPr>
        <w:t xml:space="preserve">) by 15 December 2012. Proposals will be refereed by a panel. If you wish to be a lead participant in one of the roundtable discussions, please indicate that by the same date. </w:t>
      </w:r>
    </w:p>
    <w:p w:rsidR="00C574F6" w:rsidRDefault="00C574F6" w:rsidP="00C574F6">
      <w:pPr>
        <w:spacing w:after="120"/>
        <w:rPr>
          <w:rFonts w:cs="Tahoma"/>
          <w:szCs w:val="22"/>
        </w:rPr>
      </w:pPr>
      <w:r>
        <w:rPr>
          <w:rFonts w:cs="Tahoma"/>
          <w:szCs w:val="22"/>
        </w:rPr>
        <w:lastRenderedPageBreak/>
        <w:t>Notification of acceptance will be given by 15 January 2013.</w:t>
      </w:r>
    </w:p>
    <w:p w:rsidR="00C574F6" w:rsidRDefault="00C574F6" w:rsidP="00C574F6">
      <w:pPr>
        <w:spacing w:after="120"/>
        <w:rPr>
          <w:rFonts w:cs="Tahoma"/>
          <w:szCs w:val="22"/>
        </w:rPr>
      </w:pPr>
      <w:r>
        <w:rPr>
          <w:rFonts w:cs="Tahoma"/>
          <w:szCs w:val="22"/>
        </w:rPr>
        <w:t xml:space="preserve">Conference costs will be kept to a minimum. Details of accommodation in the Bath area are available at </w:t>
      </w:r>
      <w:r w:rsidRPr="00063F6F">
        <w:rPr>
          <w:rFonts w:cs="Tahoma"/>
          <w:szCs w:val="22"/>
        </w:rPr>
        <w:t>http://visitbath.co.uk/</w:t>
      </w:r>
      <w:r>
        <w:rPr>
          <w:rFonts w:cs="Tahoma"/>
          <w:szCs w:val="22"/>
        </w:rPr>
        <w:t>.</w:t>
      </w:r>
    </w:p>
    <w:p w:rsidR="00C574F6" w:rsidRDefault="00C574F6" w:rsidP="00C574F6">
      <w:pPr>
        <w:spacing w:after="120"/>
        <w:rPr>
          <w:rFonts w:cs="Tahoma"/>
          <w:szCs w:val="22"/>
        </w:rPr>
      </w:pPr>
    </w:p>
    <w:p w:rsidR="00C574F6" w:rsidRPr="00723161" w:rsidRDefault="00C574F6" w:rsidP="00C574F6">
      <w:pPr>
        <w:spacing w:after="120"/>
        <w:rPr>
          <w:rFonts w:cs="Tahoma"/>
          <w:szCs w:val="22"/>
        </w:rPr>
      </w:pPr>
    </w:p>
    <w:p w:rsidR="00C574F6" w:rsidRPr="00B95E5C" w:rsidRDefault="00C574F6" w:rsidP="00C574F6">
      <w:pPr>
        <w:spacing w:after="0"/>
        <w:ind w:left="1080"/>
        <w:rPr>
          <w:rFonts w:cs="Tahoma"/>
          <w:i/>
          <w:szCs w:val="22"/>
        </w:rPr>
      </w:pPr>
    </w:p>
    <w:p w:rsidR="00C574F6" w:rsidRDefault="00C574F6" w:rsidP="00C574F6">
      <w:pPr>
        <w:ind w:left="1080"/>
        <w:rPr>
          <w:rFonts w:cs="Tahoma"/>
          <w:szCs w:val="22"/>
        </w:rPr>
      </w:pPr>
    </w:p>
    <w:p w:rsidR="00C574F6" w:rsidRPr="00B259FD" w:rsidRDefault="00C574F6">
      <w:pPr>
        <w:rPr>
          <w:lang w:val="en-GB"/>
        </w:rPr>
      </w:pPr>
    </w:p>
    <w:sectPr w:rsidR="00C574F6" w:rsidRPr="00B259FD" w:rsidSect="00C574F6">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48" w:rsidRDefault="00086748" w:rsidP="00CF16A4">
      <w:pPr>
        <w:spacing w:after="0"/>
      </w:pPr>
      <w:r>
        <w:separator/>
      </w:r>
    </w:p>
  </w:endnote>
  <w:endnote w:type="continuationSeparator" w:id="0">
    <w:p w:rsidR="00086748" w:rsidRDefault="00086748" w:rsidP="00CF16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48" w:rsidRDefault="00086748" w:rsidP="00CF16A4">
      <w:pPr>
        <w:spacing w:after="0"/>
      </w:pPr>
      <w:r>
        <w:separator/>
      </w:r>
    </w:p>
  </w:footnote>
  <w:footnote w:type="continuationSeparator" w:id="0">
    <w:p w:rsidR="00086748" w:rsidRDefault="00086748" w:rsidP="00CF16A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8785F"/>
    <w:multiLevelType w:val="hybridMultilevel"/>
    <w:tmpl w:val="96F6FD6E"/>
    <w:lvl w:ilvl="0" w:tplc="FCC46DE0">
      <w:start w:val="25"/>
      <w:numFmt w:val="bullet"/>
      <w:lvlText w:val=""/>
      <w:lvlJc w:val="left"/>
      <w:pPr>
        <w:ind w:left="1080" w:hanging="720"/>
      </w:pPr>
      <w:rPr>
        <w:rFonts w:ascii="Symbol" w:eastAsia="Cambria" w:hAnsi="Symbol" w:cs="Wingding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CE06FA"/>
    <w:rsid w:val="00086748"/>
    <w:rsid w:val="00454306"/>
    <w:rsid w:val="00457C74"/>
    <w:rsid w:val="005146C0"/>
    <w:rsid w:val="00C574F6"/>
    <w:rsid w:val="00CF16A4"/>
  </w:rsids>
  <m:mathPr>
    <m:mathFont m:val="Cambria Math"/>
    <m:brkBin m:val="before"/>
    <m:brkBinSub m:val="--"/>
    <m:smallFrac m:val="off"/>
    <m:dispDef m:val="off"/>
    <m:lMargin m:val="0"/>
    <m:rMargin m:val="0"/>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2852"/>
    <w:pPr>
      <w:spacing w:after="200"/>
    </w:pPr>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uiPriority w:val="22"/>
    <w:qFormat/>
    <w:rsid w:val="00B259FD"/>
    <w:rPr>
      <w:b/>
      <w:bCs/>
    </w:rPr>
  </w:style>
  <w:style w:type="character" w:styleId="Hyperlink">
    <w:name w:val="Hyperlink"/>
    <w:uiPriority w:val="99"/>
    <w:semiHidden/>
    <w:unhideWhenUsed/>
    <w:rsid w:val="00723161"/>
    <w:rPr>
      <w:color w:val="0000FF"/>
      <w:u w:val="single"/>
    </w:rPr>
  </w:style>
  <w:style w:type="paragraph" w:styleId="Header">
    <w:name w:val="header"/>
    <w:basedOn w:val="Normal"/>
    <w:link w:val="HeaderChar"/>
    <w:uiPriority w:val="99"/>
    <w:semiHidden/>
    <w:unhideWhenUsed/>
    <w:rsid w:val="00CF16A4"/>
    <w:pPr>
      <w:tabs>
        <w:tab w:val="center" w:pos="4680"/>
        <w:tab w:val="right" w:pos="9360"/>
      </w:tabs>
    </w:pPr>
  </w:style>
  <w:style w:type="character" w:customStyle="1" w:styleId="HeaderChar">
    <w:name w:val="Header Char"/>
    <w:basedOn w:val="DefaultParagraphFont"/>
    <w:link w:val="Header"/>
    <w:uiPriority w:val="99"/>
    <w:semiHidden/>
    <w:rsid w:val="00CF16A4"/>
    <w:rPr>
      <w:sz w:val="24"/>
      <w:szCs w:val="24"/>
      <w:lang w:eastAsia="en-US"/>
    </w:rPr>
  </w:style>
  <w:style w:type="paragraph" w:styleId="Footer">
    <w:name w:val="footer"/>
    <w:basedOn w:val="Normal"/>
    <w:link w:val="FooterChar"/>
    <w:uiPriority w:val="99"/>
    <w:semiHidden/>
    <w:unhideWhenUsed/>
    <w:rsid w:val="00CF16A4"/>
    <w:pPr>
      <w:tabs>
        <w:tab w:val="center" w:pos="4680"/>
        <w:tab w:val="right" w:pos="9360"/>
      </w:tabs>
    </w:pPr>
  </w:style>
  <w:style w:type="character" w:customStyle="1" w:styleId="FooterChar">
    <w:name w:val="Footer Char"/>
    <w:basedOn w:val="DefaultParagraphFont"/>
    <w:link w:val="Footer"/>
    <w:uiPriority w:val="99"/>
    <w:semiHidden/>
    <w:rsid w:val="00CF16A4"/>
    <w:rPr>
      <w:sz w:val="24"/>
      <w:szCs w:val="24"/>
      <w:lang w:eastAsia="en-US"/>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d.johnston@qub.ac.uk" TargetMode="External"/><Relationship Id="rId3" Type="http://schemas.openxmlformats.org/officeDocument/2006/relationships/settings" Target="settings.xml"/><Relationship Id="rId7" Type="http://schemas.openxmlformats.org/officeDocument/2006/relationships/hyperlink" Target="mailto:garcia@deni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2045</CharactersWithSpaces>
  <SharedDoc>false</SharedDoc>
  <HLinks>
    <vt:vector size="12" baseType="variant">
      <vt:variant>
        <vt:i4>1376291</vt:i4>
      </vt:variant>
      <vt:variant>
        <vt:i4>3</vt:i4>
      </vt:variant>
      <vt:variant>
        <vt:i4>0</vt:i4>
      </vt:variant>
      <vt:variant>
        <vt:i4>5</vt:i4>
      </vt:variant>
      <vt:variant>
        <vt:lpwstr>mailto:d.johnston@qub.ac.uk</vt:lpwstr>
      </vt:variant>
      <vt:variant>
        <vt:lpwstr/>
      </vt:variant>
      <vt:variant>
        <vt:i4>7798875</vt:i4>
      </vt:variant>
      <vt:variant>
        <vt:i4>0</vt:i4>
      </vt:variant>
      <vt:variant>
        <vt:i4>0</vt:i4>
      </vt:variant>
      <vt:variant>
        <vt:i4>5</vt:i4>
      </vt:variant>
      <vt:variant>
        <vt:lpwstr>mailto:garcia@denison.edu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dc:creator>
  <cp:lastModifiedBy>Laura Vidler</cp:lastModifiedBy>
  <cp:revision>2</cp:revision>
  <cp:lastPrinted>2012-11-06T17:10:00Z</cp:lastPrinted>
  <dcterms:created xsi:type="dcterms:W3CDTF">2012-11-06T17:13:00Z</dcterms:created>
  <dcterms:modified xsi:type="dcterms:W3CDTF">2012-11-06T17:13:00Z</dcterms:modified>
</cp:coreProperties>
</file>